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38" w:rsidRDefault="00EA4D84">
      <w:pPr>
        <w:spacing w:line="360" w:lineRule="auto"/>
        <w:jc w:val="center"/>
        <w:outlineLvl w:val="0"/>
        <w:rPr>
          <w:b/>
          <w:sz w:val="36"/>
          <w:szCs w:val="36"/>
        </w:rPr>
      </w:pPr>
      <w:r>
        <w:rPr>
          <w:rFonts w:hint="eastAsia"/>
          <w:b/>
          <w:sz w:val="36"/>
          <w:szCs w:val="36"/>
        </w:rPr>
        <w:t>购置网络</w:t>
      </w:r>
      <w:proofErr w:type="gramStart"/>
      <w:r>
        <w:rPr>
          <w:rFonts w:hint="eastAsia"/>
          <w:b/>
          <w:sz w:val="36"/>
          <w:szCs w:val="36"/>
        </w:rPr>
        <w:t>安全运</w:t>
      </w:r>
      <w:proofErr w:type="gramEnd"/>
      <w:r>
        <w:rPr>
          <w:rFonts w:hint="eastAsia"/>
          <w:b/>
          <w:sz w:val="36"/>
          <w:szCs w:val="36"/>
        </w:rPr>
        <w:t>维服务参数要求</w:t>
      </w:r>
    </w:p>
    <w:p w:rsidR="00F24138" w:rsidRDefault="00576842">
      <w:pPr>
        <w:numPr>
          <w:ilvl w:val="0"/>
          <w:numId w:val="1"/>
        </w:numPr>
        <w:spacing w:line="360" w:lineRule="auto"/>
        <w:outlineLvl w:val="1"/>
        <w:rPr>
          <w:rFonts w:ascii="宋体" w:hAnsi="宋体" w:cs="宋体"/>
          <w:b/>
          <w:bCs/>
          <w:sz w:val="24"/>
        </w:rPr>
      </w:pPr>
      <w:r>
        <w:rPr>
          <w:rFonts w:ascii="宋体" w:hAnsi="宋体" w:cs="宋体" w:hint="eastAsia"/>
          <w:b/>
          <w:bCs/>
          <w:sz w:val="24"/>
        </w:rPr>
        <w:t>参数说明：</w:t>
      </w:r>
    </w:p>
    <w:p w:rsidR="00F24138" w:rsidRDefault="00576842">
      <w:pPr>
        <w:numPr>
          <w:ilvl w:val="0"/>
          <w:numId w:val="2"/>
        </w:numPr>
        <w:spacing w:line="360" w:lineRule="auto"/>
        <w:ind w:firstLineChars="200" w:firstLine="480"/>
        <w:contextualSpacing/>
        <w:rPr>
          <w:rFonts w:ascii="宋体" w:hAnsi="宋体" w:cs="宋体"/>
          <w:sz w:val="24"/>
        </w:rPr>
      </w:pPr>
      <w:r>
        <w:rPr>
          <w:rFonts w:ascii="宋体" w:hAnsi="宋体" w:cs="宋体" w:hint="eastAsia"/>
          <w:sz w:val="24"/>
        </w:rPr>
        <w:t>参数中加★项为核心指标项，若其中有一项核心指标不满足，则不考虑该服务商。</w:t>
      </w:r>
    </w:p>
    <w:p w:rsidR="00F24138" w:rsidRDefault="00576842">
      <w:pPr>
        <w:numPr>
          <w:ilvl w:val="0"/>
          <w:numId w:val="2"/>
        </w:numPr>
        <w:spacing w:line="360" w:lineRule="auto"/>
        <w:ind w:firstLineChars="200" w:firstLine="480"/>
        <w:contextualSpacing/>
        <w:rPr>
          <w:rFonts w:ascii="宋体" w:hAnsi="宋体" w:cs="宋体"/>
          <w:sz w:val="24"/>
        </w:rPr>
      </w:pPr>
      <w:r>
        <w:rPr>
          <w:rFonts w:ascii="宋体" w:hAnsi="宋体" w:cs="宋体" w:hint="eastAsia"/>
          <w:sz w:val="24"/>
        </w:rPr>
        <w:t>其他项为一般指标项，若有</w:t>
      </w:r>
      <w:r>
        <w:rPr>
          <w:rFonts w:ascii="宋体" w:hAnsi="宋体" w:cs="宋体"/>
          <w:sz w:val="24"/>
        </w:rPr>
        <w:t>2</w:t>
      </w:r>
      <w:r>
        <w:rPr>
          <w:rFonts w:ascii="宋体" w:hAnsi="宋体" w:cs="宋体" w:hint="eastAsia"/>
          <w:sz w:val="24"/>
        </w:rPr>
        <w:t>项以上（不包含</w:t>
      </w:r>
      <w:r>
        <w:rPr>
          <w:rFonts w:ascii="宋体" w:hAnsi="宋体" w:cs="宋体"/>
          <w:sz w:val="24"/>
        </w:rPr>
        <w:t>2</w:t>
      </w:r>
      <w:r>
        <w:rPr>
          <w:rFonts w:ascii="宋体" w:hAnsi="宋体" w:cs="宋体" w:hint="eastAsia"/>
          <w:sz w:val="24"/>
        </w:rPr>
        <w:t>项）一般指标项不满足，则不考虑该服务商。</w:t>
      </w:r>
    </w:p>
    <w:p w:rsidR="00F24138" w:rsidRDefault="00576842">
      <w:pPr>
        <w:numPr>
          <w:ilvl w:val="0"/>
          <w:numId w:val="1"/>
        </w:numPr>
        <w:spacing w:line="360" w:lineRule="auto"/>
        <w:outlineLvl w:val="1"/>
        <w:rPr>
          <w:rFonts w:ascii="宋体" w:hAnsi="宋体" w:cs="宋体"/>
          <w:b/>
          <w:bCs/>
          <w:sz w:val="24"/>
        </w:rPr>
      </w:pPr>
      <w:r>
        <w:rPr>
          <w:rFonts w:ascii="宋体" w:hAnsi="宋体" w:cs="宋体" w:hint="eastAsia"/>
          <w:b/>
          <w:bCs/>
          <w:sz w:val="24"/>
        </w:rPr>
        <w:t>服务期限及地点</w:t>
      </w:r>
    </w:p>
    <w:p w:rsidR="00F24138" w:rsidRPr="00D847D2" w:rsidRDefault="00576842">
      <w:pPr>
        <w:numPr>
          <w:ilvl w:val="0"/>
          <w:numId w:val="3"/>
        </w:numPr>
        <w:spacing w:line="360" w:lineRule="auto"/>
        <w:ind w:firstLine="480"/>
        <w:contextualSpacing/>
        <w:rPr>
          <w:rFonts w:ascii="宋体" w:hAnsi="宋体" w:cs="宋体"/>
          <w:sz w:val="24"/>
        </w:rPr>
      </w:pPr>
      <w:r w:rsidRPr="00D847D2">
        <w:rPr>
          <w:rFonts w:ascii="宋体" w:hAnsi="宋体" w:cs="宋体" w:hint="eastAsia"/>
          <w:sz w:val="24"/>
        </w:rPr>
        <w:t>服务期限：自合同签订之日起一年。</w:t>
      </w:r>
    </w:p>
    <w:p w:rsidR="00F24138" w:rsidRDefault="00576842">
      <w:pPr>
        <w:numPr>
          <w:ilvl w:val="0"/>
          <w:numId w:val="3"/>
        </w:numPr>
        <w:spacing w:line="360" w:lineRule="auto"/>
        <w:ind w:firstLineChars="200" w:firstLine="480"/>
        <w:contextualSpacing/>
        <w:rPr>
          <w:rFonts w:ascii="宋体" w:hAnsi="宋体" w:cs="宋体"/>
          <w:sz w:val="24"/>
        </w:rPr>
      </w:pPr>
      <w:r>
        <w:rPr>
          <w:rFonts w:ascii="宋体" w:hAnsi="宋体" w:cs="宋体" w:hint="eastAsia"/>
          <w:sz w:val="24"/>
        </w:rPr>
        <w:t>服务地点：北京市</w:t>
      </w:r>
      <w:proofErr w:type="gramStart"/>
      <w:r>
        <w:rPr>
          <w:rFonts w:ascii="宋体" w:hAnsi="宋体" w:cs="宋体" w:hint="eastAsia"/>
          <w:sz w:val="24"/>
        </w:rPr>
        <w:t>平谷区</w:t>
      </w:r>
      <w:proofErr w:type="gramEnd"/>
      <w:r>
        <w:rPr>
          <w:rFonts w:ascii="宋体" w:hAnsi="宋体" w:cs="宋体" w:hint="eastAsia"/>
          <w:sz w:val="24"/>
        </w:rPr>
        <w:t>医院指定地点</w:t>
      </w:r>
    </w:p>
    <w:p w:rsidR="00F24138" w:rsidRDefault="00576842">
      <w:pPr>
        <w:numPr>
          <w:ilvl w:val="0"/>
          <w:numId w:val="1"/>
        </w:numPr>
        <w:spacing w:line="360" w:lineRule="auto"/>
        <w:outlineLvl w:val="1"/>
        <w:rPr>
          <w:rFonts w:ascii="宋体" w:hAnsi="宋体" w:cs="宋体"/>
          <w:b/>
          <w:bCs/>
          <w:sz w:val="24"/>
        </w:rPr>
      </w:pPr>
      <w:r>
        <w:rPr>
          <w:rFonts w:ascii="宋体" w:hAnsi="宋体" w:cs="宋体" w:hint="eastAsia"/>
          <w:b/>
          <w:bCs/>
          <w:sz w:val="24"/>
        </w:rPr>
        <w:t>服务内容及要求：</w:t>
      </w:r>
    </w:p>
    <w:p w:rsidR="00F24138" w:rsidRDefault="00576842">
      <w:pPr>
        <w:pStyle w:val="3"/>
        <w:numPr>
          <w:ilvl w:val="0"/>
          <w:numId w:val="4"/>
        </w:numPr>
        <w:rPr>
          <w:rFonts w:hAnsi="宋体" w:cs="宋体"/>
          <w:szCs w:val="24"/>
          <w:u w:val="none"/>
        </w:rPr>
      </w:pPr>
      <w:r>
        <w:rPr>
          <w:rFonts w:hAnsi="宋体" w:cs="宋体" w:hint="eastAsia"/>
          <w:szCs w:val="24"/>
          <w:u w:val="none"/>
        </w:rPr>
        <w:t>服务清单</w:t>
      </w:r>
    </w:p>
    <w:tbl>
      <w:tblPr>
        <w:tblW w:w="4998" w:type="pct"/>
        <w:tblLook w:val="04A0" w:firstRow="1" w:lastRow="0" w:firstColumn="1" w:lastColumn="0" w:noHBand="0" w:noVBand="1"/>
      </w:tblPr>
      <w:tblGrid>
        <w:gridCol w:w="897"/>
        <w:gridCol w:w="3960"/>
        <w:gridCol w:w="2004"/>
        <w:gridCol w:w="1658"/>
      </w:tblGrid>
      <w:tr w:rsidR="00F24138">
        <w:trPr>
          <w:trHeight w:val="324"/>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b/>
                <w:bCs/>
                <w:sz w:val="24"/>
              </w:rPr>
            </w:pPr>
            <w:r>
              <w:rPr>
                <w:rFonts w:ascii="宋体" w:hAnsi="宋体" w:cs="宋体" w:hint="eastAsia"/>
                <w:b/>
                <w:bCs/>
                <w:sz w:val="24"/>
                <w:lang w:bidi="ar"/>
              </w:rPr>
              <w:t>序号</w:t>
            </w:r>
          </w:p>
        </w:tc>
        <w:tc>
          <w:tcPr>
            <w:tcW w:w="2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b/>
                <w:bCs/>
                <w:sz w:val="24"/>
              </w:rPr>
            </w:pPr>
            <w:r>
              <w:rPr>
                <w:rFonts w:ascii="宋体" w:hAnsi="宋体" w:cs="宋体" w:hint="eastAsia"/>
                <w:b/>
                <w:bCs/>
                <w:sz w:val="24"/>
                <w:lang w:bidi="ar"/>
              </w:rPr>
              <w:t>服务名称</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b/>
                <w:bCs/>
                <w:sz w:val="24"/>
              </w:rPr>
            </w:pPr>
            <w:r>
              <w:rPr>
                <w:rFonts w:ascii="宋体" w:hAnsi="宋体" w:cs="宋体" w:hint="eastAsia"/>
                <w:b/>
                <w:bCs/>
                <w:sz w:val="24"/>
                <w:lang w:bidi="ar"/>
              </w:rPr>
              <w:t>数量</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b/>
                <w:bCs/>
                <w:sz w:val="24"/>
              </w:rPr>
            </w:pPr>
            <w:r>
              <w:rPr>
                <w:rFonts w:ascii="宋体" w:hAnsi="宋体" w:cs="宋体" w:hint="eastAsia"/>
                <w:b/>
                <w:bCs/>
                <w:sz w:val="24"/>
                <w:lang w:bidi="ar"/>
              </w:rPr>
              <w:t>单位</w:t>
            </w:r>
          </w:p>
        </w:tc>
      </w:tr>
      <w:tr w:rsidR="00F24138">
        <w:trPr>
          <w:trHeight w:val="62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lang w:bidi="ar"/>
              </w:rPr>
            </w:pPr>
            <w:r>
              <w:rPr>
                <w:rFonts w:ascii="宋体" w:hAnsi="宋体" w:cs="宋体" w:hint="eastAsia"/>
                <w:sz w:val="24"/>
                <w:lang w:bidi="ar"/>
              </w:rPr>
              <w:t>一、网络</w:t>
            </w:r>
            <w:proofErr w:type="gramStart"/>
            <w:r>
              <w:rPr>
                <w:rFonts w:ascii="宋体" w:hAnsi="宋体" w:cs="宋体" w:hint="eastAsia"/>
                <w:sz w:val="24"/>
                <w:lang w:bidi="ar"/>
              </w:rPr>
              <w:t>安全运</w:t>
            </w:r>
            <w:proofErr w:type="gramEnd"/>
            <w:r>
              <w:rPr>
                <w:rFonts w:ascii="宋体" w:hAnsi="宋体" w:cs="宋体" w:hint="eastAsia"/>
                <w:sz w:val="24"/>
                <w:lang w:bidi="ar"/>
              </w:rPr>
              <w:t>维服务</w:t>
            </w:r>
          </w:p>
        </w:tc>
      </w:tr>
      <w:tr w:rsidR="00F24138">
        <w:trPr>
          <w:trHeight w:val="624"/>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23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安全运营服务</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r w:rsidR="00F24138">
        <w:trPr>
          <w:trHeight w:val="228"/>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2</w:t>
            </w:r>
          </w:p>
        </w:tc>
        <w:tc>
          <w:tcPr>
            <w:tcW w:w="23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安全配置核查服务</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r w:rsidR="00F24138">
        <w:trPr>
          <w:trHeight w:val="423"/>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3</w:t>
            </w:r>
          </w:p>
        </w:tc>
        <w:tc>
          <w:tcPr>
            <w:tcW w:w="2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应急响应及处置</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r w:rsidR="00F24138">
        <w:trPr>
          <w:trHeight w:val="574"/>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4</w:t>
            </w:r>
          </w:p>
        </w:tc>
        <w:tc>
          <w:tcPr>
            <w:tcW w:w="2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日志分析及事件</w:t>
            </w:r>
            <w:proofErr w:type="gramStart"/>
            <w:r>
              <w:rPr>
                <w:rFonts w:ascii="宋体" w:hAnsi="宋体" w:cs="宋体" w:hint="eastAsia"/>
                <w:sz w:val="24"/>
              </w:rPr>
              <w:t>研判服务</w:t>
            </w:r>
            <w:proofErr w:type="gramEnd"/>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r w:rsidR="00F24138">
        <w:trPr>
          <w:trHeight w:val="413"/>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5</w:t>
            </w:r>
          </w:p>
        </w:tc>
        <w:tc>
          <w:tcPr>
            <w:tcW w:w="23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安全加固</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r w:rsidR="00F24138">
        <w:trPr>
          <w:trHeight w:val="505"/>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6</w:t>
            </w:r>
          </w:p>
        </w:tc>
        <w:tc>
          <w:tcPr>
            <w:tcW w:w="23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安全风险评估服务</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r w:rsidR="00F24138">
        <w:trPr>
          <w:trHeight w:val="413"/>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7</w:t>
            </w:r>
          </w:p>
        </w:tc>
        <w:tc>
          <w:tcPr>
            <w:tcW w:w="23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网络安全值守服务</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r w:rsidR="00F24138">
        <w:trPr>
          <w:trHeight w:val="60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lang w:bidi="ar"/>
              </w:rPr>
            </w:pPr>
            <w:r>
              <w:rPr>
                <w:rFonts w:ascii="宋体" w:hAnsi="宋体" w:cs="宋体" w:hint="eastAsia"/>
                <w:sz w:val="24"/>
                <w:lang w:bidi="ar"/>
              </w:rPr>
              <w:t>二、检测服务</w:t>
            </w:r>
          </w:p>
        </w:tc>
      </w:tr>
      <w:tr w:rsidR="00F24138">
        <w:trPr>
          <w:trHeight w:val="585"/>
        </w:trPr>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8</w:t>
            </w:r>
          </w:p>
        </w:tc>
        <w:tc>
          <w:tcPr>
            <w:tcW w:w="23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rPr>
              <w:t>渗透测试服务</w:t>
            </w:r>
          </w:p>
        </w:tc>
        <w:tc>
          <w:tcPr>
            <w:tcW w:w="1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1</w:t>
            </w:r>
          </w:p>
        </w:tc>
        <w:tc>
          <w:tcPr>
            <w:tcW w:w="9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138" w:rsidRDefault="00576842">
            <w:pPr>
              <w:spacing w:line="360" w:lineRule="auto"/>
              <w:jc w:val="center"/>
              <w:textAlignment w:val="center"/>
              <w:rPr>
                <w:rFonts w:ascii="宋体" w:hAnsi="宋体" w:cs="宋体"/>
                <w:sz w:val="24"/>
              </w:rPr>
            </w:pPr>
            <w:r>
              <w:rPr>
                <w:rFonts w:ascii="宋体" w:hAnsi="宋体" w:cs="宋体" w:hint="eastAsia"/>
                <w:sz w:val="24"/>
                <w:lang w:bidi="ar"/>
              </w:rPr>
              <w:t>年</w:t>
            </w:r>
          </w:p>
        </w:tc>
      </w:tr>
    </w:tbl>
    <w:p w:rsidR="00F24138" w:rsidRDefault="00576842">
      <w:pPr>
        <w:pStyle w:val="3"/>
        <w:numPr>
          <w:ilvl w:val="0"/>
          <w:numId w:val="4"/>
        </w:numPr>
        <w:rPr>
          <w:rFonts w:hAnsi="宋体" w:cs="宋体"/>
          <w:szCs w:val="24"/>
          <w:u w:val="none"/>
        </w:rPr>
      </w:pPr>
      <w:r>
        <w:rPr>
          <w:rFonts w:hAnsi="宋体" w:cs="宋体" w:hint="eastAsia"/>
          <w:szCs w:val="24"/>
          <w:u w:val="none"/>
        </w:rPr>
        <w:lastRenderedPageBreak/>
        <w:t>服务内容</w:t>
      </w:r>
    </w:p>
    <w:p w:rsidR="00F24138" w:rsidRDefault="00576842">
      <w:pPr>
        <w:pStyle w:val="4"/>
        <w:rPr>
          <w:rFonts w:ascii="宋体" w:eastAsia="宋体" w:hAnsi="宋体" w:cs="宋体"/>
          <w:sz w:val="24"/>
        </w:rPr>
      </w:pPr>
      <w:r>
        <w:rPr>
          <w:rFonts w:ascii="宋体" w:eastAsia="宋体" w:hAnsi="宋体" w:cs="宋体" w:hint="eastAsia"/>
          <w:sz w:val="24"/>
        </w:rPr>
        <w:t>1.网络</w:t>
      </w:r>
      <w:proofErr w:type="gramStart"/>
      <w:r>
        <w:rPr>
          <w:rFonts w:ascii="宋体" w:eastAsia="宋体" w:hAnsi="宋体" w:cs="宋体" w:hint="eastAsia"/>
          <w:sz w:val="24"/>
        </w:rPr>
        <w:t>安全运</w:t>
      </w:r>
      <w:proofErr w:type="gramEnd"/>
      <w:r>
        <w:rPr>
          <w:rFonts w:ascii="宋体" w:eastAsia="宋体" w:hAnsi="宋体" w:cs="宋体" w:hint="eastAsia"/>
          <w:sz w:val="24"/>
        </w:rPr>
        <w:t>维服务</w:t>
      </w:r>
    </w:p>
    <w:p w:rsidR="00F24138" w:rsidRDefault="00576842">
      <w:pPr>
        <w:pStyle w:val="4"/>
        <w:rPr>
          <w:rFonts w:ascii="宋体" w:eastAsia="宋体" w:hAnsi="宋体" w:cs="宋体"/>
          <w:sz w:val="24"/>
        </w:rPr>
      </w:pPr>
      <w:r>
        <w:rPr>
          <w:rFonts w:ascii="宋体" w:eastAsia="宋体" w:hAnsi="宋体" w:cs="宋体" w:hint="eastAsia"/>
          <w:sz w:val="24"/>
        </w:rPr>
        <w:t>（1）安全运营服务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486"/>
        <w:gridCol w:w="6185"/>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定期对安全服务对象进行巡检，涉及设备自身硬件资源的使用情况、业务应用服务所占用的网络资源情况、端口服务开放情况的变更等内容，主要对网络和重要信息系统安全防护措施是否合</w:t>
            </w:r>
            <w:proofErr w:type="gramStart"/>
            <w:r>
              <w:rPr>
                <w:rFonts w:ascii="宋体" w:hAnsi="宋体" w:hint="eastAsia"/>
                <w:sz w:val="24"/>
              </w:rPr>
              <w:t>规</w:t>
            </w:r>
            <w:proofErr w:type="gramEnd"/>
            <w:r>
              <w:rPr>
                <w:rFonts w:ascii="宋体" w:hAnsi="宋体" w:hint="eastAsia"/>
                <w:sz w:val="24"/>
              </w:rPr>
              <w:t>、到位，安全设施是否有效进行检查、验证并提出巡检报告和改进措施，并实施必要的安全维护操作，包括设备CPU、内存状态、开放服务检测，系统故障检查、分析、排除和跟踪。</w:t>
            </w:r>
          </w:p>
        </w:tc>
      </w:tr>
      <w:tr w:rsidR="00F24138">
        <w:trPr>
          <w:trHeight w:val="486"/>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rFonts w:ascii="Calibri" w:hAnsi="Calibri"/>
                <w:color w:val="FF0000"/>
                <w:sz w:val="24"/>
              </w:rPr>
            </w:pPr>
            <w:r>
              <w:rPr>
                <w:rFonts w:ascii="Calibri" w:hAnsi="Calibri"/>
                <w:color w:val="000000" w:themeColor="text1"/>
                <w:sz w:val="24"/>
              </w:rPr>
              <w:t>2</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rFonts w:ascii="宋体" w:hAnsi="宋体"/>
                <w:color w:val="000000" w:themeColor="text1"/>
                <w:sz w:val="24"/>
              </w:rPr>
            </w:pPr>
            <w:r>
              <w:rPr>
                <w:rFonts w:ascii="宋体" w:hAnsi="宋体" w:hint="eastAsia"/>
                <w:color w:val="000000" w:themeColor="text1"/>
                <w:sz w:val="24"/>
              </w:rPr>
              <w:t>服务工具功能要求</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rFonts w:ascii="宋体" w:hAnsi="宋体"/>
                <w:color w:val="000000" w:themeColor="text1"/>
                <w:sz w:val="24"/>
              </w:rPr>
            </w:pPr>
            <w:r>
              <w:rPr>
                <w:rFonts w:ascii="宋体" w:hAnsi="宋体" w:hint="eastAsia"/>
                <w:color w:val="000000" w:themeColor="text1"/>
                <w:sz w:val="24"/>
              </w:rPr>
              <w:t>1.</w:t>
            </w:r>
            <w:proofErr w:type="gramStart"/>
            <w:r>
              <w:rPr>
                <w:rFonts w:ascii="宋体" w:hAnsi="宋体" w:hint="eastAsia"/>
                <w:color w:val="000000" w:themeColor="text1"/>
                <w:sz w:val="24"/>
              </w:rPr>
              <w:t>需展示</w:t>
            </w:r>
            <w:proofErr w:type="gramEnd"/>
            <w:r>
              <w:rPr>
                <w:rFonts w:ascii="宋体" w:hAnsi="宋体" w:hint="eastAsia"/>
                <w:color w:val="000000" w:themeColor="text1"/>
                <w:sz w:val="24"/>
              </w:rPr>
              <w:t>漏洞的运营状态页面；支持展示未处置、已处置、已标记漏洞数量情况以及最近的漏洞报告导入时间；支持展示近7天和近30天的漏洞数量趋势图、漏洞数量最多的资产排行图、漏洞等级分布图、漏洞类型分布图；支持展示滚动的最近未处置漏洞列表，并可通过点击跳转至漏洞处置页面。要求提供系统证明截图</w:t>
            </w:r>
          </w:p>
          <w:p w:rsidR="00F24138" w:rsidRDefault="00576842">
            <w:pPr>
              <w:spacing w:line="360" w:lineRule="auto"/>
              <w:rPr>
                <w:rFonts w:ascii="宋体" w:hAnsi="宋体"/>
                <w:color w:val="000000" w:themeColor="text1"/>
                <w:sz w:val="24"/>
              </w:rPr>
            </w:pPr>
            <w:r>
              <w:rPr>
                <w:rFonts w:ascii="宋体" w:hAnsi="宋体" w:hint="eastAsia"/>
                <w:color w:val="000000" w:themeColor="text1"/>
                <w:sz w:val="24"/>
              </w:rPr>
              <w:t>2.</w:t>
            </w:r>
            <w:proofErr w:type="gramStart"/>
            <w:r>
              <w:rPr>
                <w:rFonts w:ascii="宋体" w:hAnsi="宋体" w:hint="eastAsia"/>
                <w:color w:val="000000" w:themeColor="text1"/>
                <w:sz w:val="24"/>
              </w:rPr>
              <w:t>需展示</w:t>
            </w:r>
            <w:proofErr w:type="gramEnd"/>
            <w:r>
              <w:rPr>
                <w:rFonts w:ascii="宋体" w:hAnsi="宋体" w:hint="eastAsia"/>
                <w:color w:val="000000" w:themeColor="text1"/>
                <w:sz w:val="24"/>
              </w:rPr>
              <w:t>资产的运营状态页面；支持展示不同状态资产的数量以及资产中检测到的不同类型告警数量、威胁事件数量、监控状态数量；统计展示风险指数最高的资产/业务系统排行、资产安全趋势图、外连威胁列表；支持展示资产检测到的实时告警列表，并可通过列表内点击跳转至漏洞处置页面。要求提供系统证明截图</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3</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4</w:t>
            </w:r>
          </w:p>
        </w:tc>
        <w:tc>
          <w:tcPr>
            <w:tcW w:w="872" w:type="pct"/>
            <w:tcBorders>
              <w:top w:val="single" w:sz="4" w:space="0" w:color="000000"/>
              <w:left w:val="nil"/>
              <w:bottom w:val="single" w:sz="4" w:space="0" w:color="000000"/>
              <w:right w:val="single" w:sz="4" w:space="0" w:color="000000"/>
            </w:tcBorders>
            <w:vAlign w:val="center"/>
          </w:tcPr>
          <w:p w:rsidR="00F24138" w:rsidRDefault="000F4C34">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1年内不限次数</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rFonts w:ascii="Calibri" w:hAnsi="Calibri"/>
                <w:sz w:val="24"/>
              </w:rPr>
            </w:pPr>
            <w:r>
              <w:rPr>
                <w:rFonts w:ascii="Calibri" w:hAnsi="Calibri"/>
                <w:sz w:val="24"/>
              </w:rPr>
              <w:t>5</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rFonts w:ascii="宋体" w:hAnsi="宋体"/>
                <w:sz w:val="24"/>
              </w:rPr>
            </w:pPr>
            <w:r>
              <w:rPr>
                <w:rFonts w:ascii="宋体" w:hAnsi="宋体" w:cs="宋体" w:hint="eastAsia"/>
                <w:sz w:val="24"/>
              </w:rPr>
              <w:t>★</w:t>
            </w:r>
            <w:r>
              <w:rPr>
                <w:rFonts w:ascii="宋体" w:hAnsi="宋体" w:hint="eastAsia"/>
                <w:sz w:val="24"/>
              </w:rPr>
              <w:t>技术能力</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rFonts w:ascii="宋体" w:hAnsi="宋体"/>
                <w:sz w:val="24"/>
              </w:rPr>
            </w:pPr>
            <w:r>
              <w:rPr>
                <w:rFonts w:ascii="宋体" w:hAnsi="宋体" w:cs="宋体"/>
                <w:kern w:val="0"/>
                <w:sz w:val="24"/>
              </w:rPr>
              <w:t>为保障业务连续性、安全运营：服务商需提供</w:t>
            </w:r>
            <w:r>
              <w:rPr>
                <w:rFonts w:ascii="宋体" w:hAnsi="宋体" w:cs="宋体" w:hint="eastAsia"/>
                <w:kern w:val="0"/>
                <w:sz w:val="24"/>
              </w:rPr>
              <w:t>（信息系统</w:t>
            </w:r>
            <w:proofErr w:type="gramStart"/>
            <w:r>
              <w:rPr>
                <w:rFonts w:ascii="宋体" w:hAnsi="宋体" w:cs="宋体" w:hint="eastAsia"/>
                <w:kern w:val="0"/>
                <w:sz w:val="24"/>
              </w:rPr>
              <w:t>安全运</w:t>
            </w:r>
            <w:proofErr w:type="gramEnd"/>
            <w:r>
              <w:rPr>
                <w:rFonts w:ascii="宋体" w:hAnsi="宋体" w:cs="宋体" w:hint="eastAsia"/>
                <w:kern w:val="0"/>
                <w:sz w:val="24"/>
              </w:rPr>
              <w:t>维服务资质）</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lastRenderedPageBreak/>
              <w:t>6</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《网络安全运营服务报告》</w:t>
            </w:r>
          </w:p>
        </w:tc>
      </w:tr>
    </w:tbl>
    <w:p w:rsidR="00F24138" w:rsidRDefault="00576842">
      <w:pPr>
        <w:pStyle w:val="4"/>
        <w:rPr>
          <w:rFonts w:ascii="宋体" w:eastAsia="宋体" w:hAnsi="宋体" w:cs="宋体"/>
          <w:sz w:val="24"/>
        </w:rPr>
      </w:pPr>
      <w:r>
        <w:rPr>
          <w:rFonts w:ascii="宋体" w:eastAsia="宋体" w:hAnsi="宋体" w:cs="宋体" w:hint="eastAsia"/>
          <w:sz w:val="24"/>
        </w:rPr>
        <w:t>（2）安全配置核查服务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85"/>
        <w:gridCol w:w="6187"/>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cs="宋体" w:hint="eastAsia"/>
                <w:color w:val="000000"/>
                <w:kern w:val="0"/>
                <w:sz w:val="24"/>
              </w:rPr>
              <w:t>根据定制的设备安全配置基线，以自动化和人工服务相结合的方式对信息系统网络、主机操作系统、数据库、中间件和安全设备配置策略进行核对，并生成初步核查报告，通过人工分析的方式对策略核查结果进行分析和确认，并提出整改建议，针对配置策略设置不合理之处协调相关方实施整改，确保主机操作系统、数据库、中间件、网络、安全等设备的配置策略满足安全基线要求，有效降低信息安全事件的发生。</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2</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3</w:t>
            </w:r>
          </w:p>
        </w:tc>
        <w:tc>
          <w:tcPr>
            <w:tcW w:w="871" w:type="pct"/>
            <w:tcBorders>
              <w:top w:val="single" w:sz="4" w:space="0" w:color="000000"/>
              <w:left w:val="nil"/>
              <w:bottom w:val="single" w:sz="4" w:space="0" w:color="000000"/>
              <w:right w:val="single" w:sz="4" w:space="0" w:color="000000"/>
            </w:tcBorders>
            <w:vAlign w:val="center"/>
          </w:tcPr>
          <w:p w:rsidR="00F24138" w:rsidRDefault="000F4C34">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1年内不限次数</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rFonts w:ascii="Calibri" w:hAnsi="Calibri"/>
                <w:sz w:val="24"/>
              </w:rPr>
            </w:pPr>
            <w:r>
              <w:rPr>
                <w:rFonts w:ascii="Calibri" w:hAnsi="Calibri" w:hint="eastAsia"/>
                <w:sz w:val="24"/>
              </w:rPr>
              <w:t>4</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rFonts w:ascii="宋体" w:hAnsi="宋体"/>
                <w:sz w:val="24"/>
              </w:rPr>
            </w:pPr>
            <w:r>
              <w:rPr>
                <w:rFonts w:ascii="宋体" w:hAnsi="宋体" w:cs="宋体" w:hint="eastAsia"/>
                <w:sz w:val="24"/>
              </w:rPr>
              <w:t>★</w:t>
            </w:r>
            <w:r>
              <w:rPr>
                <w:rFonts w:ascii="宋体" w:hAnsi="宋体" w:hint="eastAsia"/>
                <w:sz w:val="24"/>
              </w:rPr>
              <w:t>技术能力</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rFonts w:ascii="宋体" w:hAnsi="宋体"/>
                <w:sz w:val="24"/>
              </w:rPr>
            </w:pPr>
            <w:r>
              <w:rPr>
                <w:rFonts w:ascii="宋体" w:hAnsi="宋体" w:cs="宋体" w:hint="eastAsia"/>
                <w:kern w:val="0"/>
                <w:sz w:val="24"/>
              </w:rPr>
              <w:t>为保障信息化系统稳固、安全审计要求：服务商需提供（网络安全审计服务资质）</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5</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《安全配置核查服务报告》</w:t>
            </w:r>
          </w:p>
        </w:tc>
      </w:tr>
    </w:tbl>
    <w:p w:rsidR="00F24138" w:rsidRDefault="00576842">
      <w:pPr>
        <w:pStyle w:val="4"/>
        <w:rPr>
          <w:rFonts w:ascii="宋体" w:eastAsia="宋体" w:hAnsi="宋体" w:cs="宋体"/>
          <w:sz w:val="24"/>
        </w:rPr>
      </w:pPr>
      <w:r>
        <w:rPr>
          <w:rFonts w:ascii="宋体" w:eastAsia="宋体" w:hAnsi="宋体" w:cs="宋体" w:hint="eastAsia"/>
          <w:sz w:val="24"/>
        </w:rPr>
        <w:t>（3）应急响应及处置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85"/>
        <w:gridCol w:w="6187"/>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在信息系统发生安全事件时及时响应，执行应急响应流程，通过专家级技术支持和快速响应，及时抑制和消除医院信息系统安全事件，减少损失和负面影响，提高医院信息系统业务连续性。</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2</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3</w:t>
            </w:r>
          </w:p>
        </w:tc>
        <w:tc>
          <w:tcPr>
            <w:tcW w:w="871" w:type="pct"/>
            <w:tcBorders>
              <w:top w:val="single" w:sz="4" w:space="0" w:color="000000"/>
              <w:left w:val="nil"/>
              <w:bottom w:val="single" w:sz="4" w:space="0" w:color="000000"/>
              <w:right w:val="single" w:sz="4" w:space="0" w:color="000000"/>
            </w:tcBorders>
            <w:vAlign w:val="center"/>
          </w:tcPr>
          <w:p w:rsidR="00F24138" w:rsidRDefault="000F4C34">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1年内不限次数</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rFonts w:ascii="Calibri" w:hAnsi="Calibri"/>
                <w:sz w:val="24"/>
              </w:rPr>
            </w:pPr>
            <w:r>
              <w:rPr>
                <w:rFonts w:ascii="Calibri" w:hAnsi="Calibri" w:hint="eastAsia"/>
                <w:sz w:val="24"/>
              </w:rPr>
              <w:t>4</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rFonts w:ascii="宋体" w:hAnsi="宋体"/>
                <w:sz w:val="24"/>
              </w:rPr>
            </w:pPr>
            <w:r>
              <w:rPr>
                <w:rFonts w:ascii="宋体" w:hAnsi="宋体" w:cs="宋体" w:hint="eastAsia"/>
                <w:sz w:val="24"/>
              </w:rPr>
              <w:t>★</w:t>
            </w:r>
            <w:r>
              <w:rPr>
                <w:rFonts w:ascii="宋体" w:hAnsi="宋体" w:hint="eastAsia"/>
                <w:sz w:val="24"/>
              </w:rPr>
              <w:t>技术能力</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rFonts w:ascii="宋体" w:hAnsi="宋体"/>
                <w:sz w:val="24"/>
              </w:rPr>
            </w:pPr>
            <w:r>
              <w:rPr>
                <w:rFonts w:ascii="宋体" w:hAnsi="宋体" w:cs="宋体" w:hint="eastAsia"/>
                <w:kern w:val="0"/>
                <w:sz w:val="24"/>
              </w:rPr>
              <w:t>为保障安全事件处置及时、后背力量完善：服务商需提供（信息安全应急处理服务资质）</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lastRenderedPageBreak/>
              <w:t>5</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《应急响应及处置报告》</w:t>
            </w:r>
          </w:p>
        </w:tc>
      </w:tr>
    </w:tbl>
    <w:p w:rsidR="00F24138" w:rsidRDefault="00576842">
      <w:pPr>
        <w:pStyle w:val="4"/>
        <w:rPr>
          <w:rFonts w:ascii="宋体" w:eastAsia="宋体" w:hAnsi="宋体" w:cs="宋体"/>
          <w:sz w:val="24"/>
        </w:rPr>
      </w:pPr>
      <w:r>
        <w:rPr>
          <w:rFonts w:ascii="宋体" w:eastAsia="宋体" w:hAnsi="宋体" w:cs="宋体" w:hint="eastAsia"/>
          <w:sz w:val="24"/>
        </w:rPr>
        <w:t>（4）日志分析及事件</w:t>
      </w:r>
      <w:proofErr w:type="gramStart"/>
      <w:r>
        <w:rPr>
          <w:rFonts w:ascii="宋体" w:eastAsia="宋体" w:hAnsi="宋体" w:cs="宋体" w:hint="eastAsia"/>
          <w:sz w:val="24"/>
        </w:rPr>
        <w:t>研</w:t>
      </w:r>
      <w:proofErr w:type="gramEnd"/>
      <w:r>
        <w:rPr>
          <w:rFonts w:ascii="宋体" w:eastAsia="宋体" w:hAnsi="宋体" w:cs="宋体" w:hint="eastAsia"/>
          <w:sz w:val="24"/>
        </w:rPr>
        <w:t>判服务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486"/>
        <w:gridCol w:w="6185"/>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依托专业团队与先进工具，全方位、多维度地深度收集信息系统服务器操作系统、数据库、中间件、网络及安全设备等核心组件产生的海量日志信息，确保数据无遗漏、无失真。运用智能工具与资深专家经验相结合的分析模式，对收集到的日志进行深度剖析与精准审查，不仅能快速定位现有安全漏洞、性能瓶颈及异常操作等显性问题，更能凭借敏锐洞察力与前瞻性思维，从繁杂数据中挖掘潜在风险趋势，提前预警可能出现的系统故障、安全威胁等重大隐患。同时，基于分析结果，为客户量身定制详细、专业且具有高度可操作性的分析报告，为客户的信息安全防护、系统性能优化及业务稳定运行提供坚实有力的决策依据，全方位保护客户核心资产安全。</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2</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3</w:t>
            </w:r>
          </w:p>
        </w:tc>
        <w:tc>
          <w:tcPr>
            <w:tcW w:w="872" w:type="pct"/>
            <w:tcBorders>
              <w:top w:val="single" w:sz="4" w:space="0" w:color="000000"/>
              <w:left w:val="nil"/>
              <w:bottom w:val="single" w:sz="4" w:space="0" w:color="000000"/>
              <w:right w:val="single" w:sz="4" w:space="0" w:color="000000"/>
            </w:tcBorders>
            <w:vAlign w:val="center"/>
          </w:tcPr>
          <w:p w:rsidR="00F24138" w:rsidRDefault="000F4C34">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1年内不限次数</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4</w:t>
            </w:r>
          </w:p>
        </w:tc>
        <w:tc>
          <w:tcPr>
            <w:tcW w:w="872"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《日志分析及事件研判服务报告》</w:t>
            </w:r>
          </w:p>
        </w:tc>
      </w:tr>
    </w:tbl>
    <w:p w:rsidR="00F24138" w:rsidRDefault="00576842">
      <w:pPr>
        <w:pStyle w:val="4"/>
        <w:rPr>
          <w:rFonts w:ascii="宋体" w:eastAsia="宋体" w:hAnsi="宋体" w:cs="宋体"/>
          <w:sz w:val="24"/>
        </w:rPr>
      </w:pPr>
      <w:r>
        <w:rPr>
          <w:rFonts w:ascii="宋体" w:eastAsia="宋体" w:hAnsi="宋体" w:cs="宋体" w:hint="eastAsia"/>
          <w:sz w:val="24"/>
        </w:rPr>
        <w:t>（5）安全加固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85"/>
        <w:gridCol w:w="6187"/>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根据渗透测试等工作结果，结合用户信息系统业务需求，通过技术手段对信息系统相关的操作系统、数据库、中间件、网络与安全设备进行安全策略加强、调优，包含网络结构优化调整、系统设备脆弱性加固、加固效果跟踪评价等，加强网络、系统和设备抵御攻击和威胁的能力，整体提高网络安全防护水平。</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lastRenderedPageBreak/>
              <w:t>2</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3</w:t>
            </w:r>
          </w:p>
        </w:tc>
        <w:tc>
          <w:tcPr>
            <w:tcW w:w="871" w:type="pct"/>
            <w:tcBorders>
              <w:top w:val="single" w:sz="4" w:space="0" w:color="000000"/>
              <w:left w:val="nil"/>
              <w:bottom w:val="single" w:sz="4" w:space="0" w:color="000000"/>
              <w:right w:val="single" w:sz="4" w:space="0" w:color="000000"/>
            </w:tcBorders>
            <w:vAlign w:val="center"/>
          </w:tcPr>
          <w:p w:rsidR="00F24138" w:rsidRDefault="000F4C34">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1年内不限次数</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4</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《安全加固报告》</w:t>
            </w:r>
          </w:p>
        </w:tc>
      </w:tr>
    </w:tbl>
    <w:p w:rsidR="00F24138" w:rsidRDefault="00576842">
      <w:pPr>
        <w:pStyle w:val="4"/>
        <w:rPr>
          <w:rFonts w:ascii="宋体" w:eastAsia="宋体" w:hAnsi="宋体" w:cs="宋体"/>
          <w:sz w:val="24"/>
        </w:rPr>
      </w:pPr>
      <w:r>
        <w:rPr>
          <w:rFonts w:ascii="宋体" w:eastAsia="宋体" w:hAnsi="宋体" w:cs="宋体" w:hint="eastAsia"/>
          <w:sz w:val="24"/>
        </w:rPr>
        <w:t>（6）安全风险评估服务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85"/>
        <w:gridCol w:w="6187"/>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基于医院信息系统及其所依托的基础网络的安全状况，参照国家信息安全风险评估规范、等级保护政策和技术要求等，从技术、管理和人员等多个方面，包括网络安全技术架构、网络/安全设备性能和策略、主机（包括操作系统和数据库）安全策略、信息系统安全机制和策略以及安全管理制度方面，</w:t>
            </w:r>
            <w:proofErr w:type="gramStart"/>
            <w:r>
              <w:rPr>
                <w:rFonts w:ascii="宋体" w:hAnsi="宋体" w:hint="eastAsia"/>
                <w:sz w:val="24"/>
              </w:rPr>
              <w:t>查找受</w:t>
            </w:r>
            <w:proofErr w:type="gramEnd"/>
            <w:r>
              <w:rPr>
                <w:rFonts w:ascii="宋体" w:hAnsi="宋体" w:hint="eastAsia"/>
                <w:sz w:val="24"/>
              </w:rPr>
              <w:t>保护的信息系统和关键资产存在的脆弱性，分析其面临的威胁和安全措施的有效性，明确保护重点。从资产重要性、脆弱性严重程度和威胁发生频率等方面分析信息系统面临的风险，为后续信息系统安全加固以及整改提供客观数据，为建立信息安全保障体系提供决策依据。</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2</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3</w:t>
            </w:r>
          </w:p>
        </w:tc>
        <w:tc>
          <w:tcPr>
            <w:tcW w:w="871" w:type="pct"/>
            <w:tcBorders>
              <w:top w:val="single" w:sz="4" w:space="0" w:color="000000"/>
              <w:left w:val="nil"/>
              <w:bottom w:val="single" w:sz="4" w:space="0" w:color="000000"/>
              <w:right w:val="single" w:sz="4" w:space="0" w:color="000000"/>
            </w:tcBorders>
            <w:vAlign w:val="center"/>
          </w:tcPr>
          <w:p w:rsidR="00F24138" w:rsidRDefault="000F196D">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1年内不限次数</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rFonts w:ascii="Calibri" w:hAnsi="Calibri"/>
                <w:sz w:val="24"/>
              </w:rPr>
            </w:pPr>
            <w:r>
              <w:rPr>
                <w:rFonts w:ascii="Calibri" w:hAnsi="Calibri" w:hint="eastAsia"/>
                <w:sz w:val="24"/>
              </w:rPr>
              <w:t>4</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rFonts w:ascii="宋体" w:hAnsi="宋体"/>
                <w:sz w:val="24"/>
              </w:rPr>
            </w:pPr>
            <w:r>
              <w:rPr>
                <w:rFonts w:ascii="宋体" w:hAnsi="宋体" w:cs="宋体" w:hint="eastAsia"/>
                <w:sz w:val="24"/>
              </w:rPr>
              <w:t>★</w:t>
            </w:r>
            <w:r>
              <w:rPr>
                <w:rFonts w:ascii="宋体" w:hAnsi="宋体" w:hint="eastAsia"/>
                <w:sz w:val="24"/>
              </w:rPr>
              <w:t>技术能力</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rFonts w:ascii="宋体" w:hAnsi="宋体"/>
                <w:sz w:val="24"/>
              </w:rPr>
            </w:pPr>
            <w:r>
              <w:rPr>
                <w:rFonts w:ascii="宋体" w:hAnsi="宋体" w:cs="宋体" w:hint="eastAsia"/>
                <w:kern w:val="0"/>
                <w:sz w:val="24"/>
              </w:rPr>
              <w:t>为保障核心系统及业务数据安全可控：服务商需提供（信息安全风险评估服务资质）</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5</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《安全风险评估服务报告》</w:t>
            </w:r>
          </w:p>
        </w:tc>
      </w:tr>
    </w:tbl>
    <w:p w:rsidR="00F24138" w:rsidRDefault="00576842">
      <w:pPr>
        <w:pStyle w:val="4"/>
        <w:rPr>
          <w:rFonts w:ascii="宋体" w:eastAsia="宋体" w:hAnsi="宋体" w:cs="宋体"/>
          <w:sz w:val="24"/>
        </w:rPr>
      </w:pPr>
      <w:r>
        <w:rPr>
          <w:rFonts w:ascii="宋体" w:eastAsia="宋体" w:hAnsi="宋体" w:cs="宋体" w:hint="eastAsia"/>
          <w:sz w:val="24"/>
        </w:rPr>
        <w:t>（7）网络安全值守服务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85"/>
        <w:gridCol w:w="6187"/>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基于医院信息系统及其所依托的基础网络的安全状况，参照国家信息安全风险评估规范、等级保护政策和技术要求等，从技术、管理和人员等多个方面，包括网络安全技术</w:t>
            </w:r>
            <w:r>
              <w:rPr>
                <w:rFonts w:ascii="宋体" w:hAnsi="宋体" w:hint="eastAsia"/>
                <w:sz w:val="24"/>
              </w:rPr>
              <w:lastRenderedPageBreak/>
              <w:t>架构、网络/安全设备性能和策略、主机（包括操作系统和数据库）安全策略、信息系统安全机制和策略以及安全管理制度方面，</w:t>
            </w:r>
            <w:proofErr w:type="gramStart"/>
            <w:r>
              <w:rPr>
                <w:rFonts w:ascii="宋体" w:hAnsi="宋体" w:hint="eastAsia"/>
                <w:sz w:val="24"/>
              </w:rPr>
              <w:t>查找受</w:t>
            </w:r>
            <w:proofErr w:type="gramEnd"/>
            <w:r>
              <w:rPr>
                <w:rFonts w:ascii="宋体" w:hAnsi="宋体" w:hint="eastAsia"/>
                <w:sz w:val="24"/>
              </w:rPr>
              <w:t>保护的信息系统和关键资产存在的脆弱性，分析其面临的威胁和安全措施的有效性，明确保护重点。从资产重要性、脆弱性严重程度和威胁发生频率等方面分析信息系统面临的风险，为后续信息系统安全加固以及整改提供客观数据，为建立信息安全保障体系提供决策依据。</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lastRenderedPageBreak/>
              <w:t>2</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3</w:t>
            </w:r>
          </w:p>
        </w:tc>
        <w:tc>
          <w:tcPr>
            <w:tcW w:w="871" w:type="pct"/>
            <w:tcBorders>
              <w:top w:val="single" w:sz="4" w:space="0" w:color="000000"/>
              <w:left w:val="nil"/>
              <w:bottom w:val="single" w:sz="4" w:space="0" w:color="000000"/>
              <w:right w:val="single" w:sz="4" w:space="0" w:color="000000"/>
            </w:tcBorders>
            <w:vAlign w:val="center"/>
          </w:tcPr>
          <w:p w:rsidR="00F24138" w:rsidRDefault="000F196D">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29" w:type="pct"/>
            <w:tcBorders>
              <w:top w:val="single" w:sz="4" w:space="0" w:color="000000"/>
              <w:left w:val="nil"/>
              <w:bottom w:val="single" w:sz="4" w:space="0" w:color="000000"/>
              <w:right w:val="single" w:sz="4" w:space="0" w:color="000000"/>
            </w:tcBorders>
            <w:vAlign w:val="center"/>
          </w:tcPr>
          <w:p w:rsidR="00F24138" w:rsidRDefault="00576842" w:rsidP="00962848">
            <w:pPr>
              <w:spacing w:line="360" w:lineRule="auto"/>
              <w:rPr>
                <w:sz w:val="24"/>
              </w:rPr>
            </w:pPr>
            <w:r>
              <w:rPr>
                <w:rFonts w:ascii="宋体" w:hAnsi="宋体" w:hint="eastAsia"/>
                <w:sz w:val="24"/>
              </w:rPr>
              <w:t>1年</w:t>
            </w:r>
            <w:r w:rsidR="00962848" w:rsidRPr="00905735">
              <w:rPr>
                <w:rFonts w:ascii="宋体" w:hAnsi="宋体" w:hint="eastAsia"/>
                <w:sz w:val="24"/>
              </w:rPr>
              <w:t>，5*8小时现场服务</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4</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29"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《网络安全值守服务报告》</w:t>
            </w:r>
          </w:p>
        </w:tc>
      </w:tr>
    </w:tbl>
    <w:p w:rsidR="00F24138" w:rsidRDefault="00576842">
      <w:pPr>
        <w:pStyle w:val="4"/>
        <w:rPr>
          <w:rFonts w:ascii="宋体" w:eastAsia="宋体" w:hAnsi="宋体" w:cs="宋体"/>
          <w:sz w:val="24"/>
        </w:rPr>
      </w:pPr>
      <w:r>
        <w:rPr>
          <w:rFonts w:ascii="宋体" w:eastAsia="宋体" w:hAnsi="宋体" w:cs="宋体" w:hint="eastAsia"/>
          <w:sz w:val="24"/>
        </w:rPr>
        <w:t>2.检测服务</w:t>
      </w:r>
    </w:p>
    <w:p w:rsidR="00F24138" w:rsidRDefault="00576842">
      <w:pPr>
        <w:pStyle w:val="4"/>
        <w:rPr>
          <w:rFonts w:ascii="宋体" w:eastAsia="宋体" w:hAnsi="宋体" w:cs="宋体"/>
          <w:sz w:val="24"/>
        </w:rPr>
      </w:pPr>
      <w:r>
        <w:rPr>
          <w:rFonts w:ascii="宋体" w:eastAsia="宋体" w:hAnsi="宋体" w:cs="宋体" w:hint="eastAsia"/>
          <w:sz w:val="24"/>
        </w:rPr>
        <w:t>（1）渗透测试服务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85"/>
        <w:gridCol w:w="6187"/>
      </w:tblGrid>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序号</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指标项</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b/>
                <w:bCs/>
                <w:sz w:val="24"/>
              </w:rPr>
            </w:pPr>
            <w:r>
              <w:rPr>
                <w:rFonts w:ascii="宋体" w:hAnsi="宋体" w:hint="eastAsia"/>
                <w:b/>
                <w:bCs/>
                <w:sz w:val="24"/>
              </w:rPr>
              <w:t>指标要求</w:t>
            </w:r>
          </w:p>
        </w:tc>
      </w:tr>
      <w:tr w:rsidR="00F24138">
        <w:trPr>
          <w:trHeight w:val="765"/>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sz w:val="24"/>
              </w:rPr>
              <w:t>1</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服务内容</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通过模拟黑客对目标系统进行渗透测试，对系统的任何弱点、技术缺陷或漏洞进行主动分析，并且以有利于攻击为目的而对漏洞加以利用，以发现并验证其存在</w:t>
            </w:r>
            <w:proofErr w:type="gramStart"/>
            <w:r>
              <w:rPr>
                <w:rFonts w:ascii="宋体" w:hAnsi="宋体" w:hint="eastAsia"/>
                <w:sz w:val="24"/>
              </w:rPr>
              <w:t>跨站脚本</w:t>
            </w:r>
            <w:proofErr w:type="gramEnd"/>
            <w:r>
              <w:rPr>
                <w:rFonts w:ascii="宋体" w:hAnsi="宋体" w:hint="eastAsia"/>
                <w:sz w:val="24"/>
              </w:rPr>
              <w:t>漏洞、主机远程安全、残留信息、SQL注入漏洞、系统信息泄露、弱口令等安全隐患，评估系统抗攻击能力，全面了解和掌握应用系统所面临的安全威胁和存在的风险。</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2</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服务范围</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针对北京市</w:t>
            </w:r>
            <w:proofErr w:type="gramStart"/>
            <w:r>
              <w:rPr>
                <w:rFonts w:ascii="宋体" w:hAnsi="宋体" w:hint="eastAsia"/>
                <w:sz w:val="24"/>
              </w:rPr>
              <w:t>平谷区</w:t>
            </w:r>
            <w:proofErr w:type="gramEnd"/>
            <w:r>
              <w:rPr>
                <w:rFonts w:ascii="宋体" w:hAnsi="宋体" w:hint="eastAsia"/>
                <w:sz w:val="24"/>
              </w:rPr>
              <w:t>医院指定信息系统</w:t>
            </w:r>
          </w:p>
        </w:tc>
      </w:tr>
      <w:tr w:rsidR="00F24138">
        <w:trPr>
          <w:trHeight w:val="27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3</w:t>
            </w:r>
          </w:p>
        </w:tc>
        <w:tc>
          <w:tcPr>
            <w:tcW w:w="871" w:type="pct"/>
            <w:tcBorders>
              <w:top w:val="single" w:sz="4" w:space="0" w:color="000000"/>
              <w:left w:val="nil"/>
              <w:bottom w:val="single" w:sz="4" w:space="0" w:color="000000"/>
              <w:right w:val="single" w:sz="4" w:space="0" w:color="000000"/>
            </w:tcBorders>
            <w:vAlign w:val="center"/>
          </w:tcPr>
          <w:p w:rsidR="00F24138" w:rsidRDefault="00B822A8">
            <w:pPr>
              <w:spacing w:line="360" w:lineRule="auto"/>
              <w:jc w:val="center"/>
              <w:rPr>
                <w:sz w:val="24"/>
              </w:rPr>
            </w:pPr>
            <w:r>
              <w:rPr>
                <w:rFonts w:ascii="宋体" w:hAnsi="宋体" w:cs="宋体" w:hint="eastAsia"/>
                <w:sz w:val="24"/>
              </w:rPr>
              <w:t>★</w:t>
            </w:r>
            <w:r w:rsidR="00576842">
              <w:rPr>
                <w:rFonts w:ascii="宋体" w:hAnsi="宋体" w:hint="eastAsia"/>
                <w:sz w:val="24"/>
              </w:rPr>
              <w:t>服务频次</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所有系统</w:t>
            </w:r>
          </w:p>
        </w:tc>
      </w:tr>
      <w:tr w:rsidR="00F24138">
        <w:trPr>
          <w:trHeight w:val="510"/>
        </w:trPr>
        <w:tc>
          <w:tcPr>
            <w:tcW w:w="499" w:type="pct"/>
            <w:tcBorders>
              <w:top w:val="single" w:sz="4" w:space="0" w:color="000000"/>
              <w:left w:val="single" w:sz="4" w:space="0" w:color="000000"/>
              <w:bottom w:val="single" w:sz="4" w:space="0" w:color="000000"/>
              <w:right w:val="single" w:sz="4" w:space="0" w:color="000000"/>
            </w:tcBorders>
            <w:vAlign w:val="center"/>
          </w:tcPr>
          <w:p w:rsidR="00F24138" w:rsidRDefault="00576842">
            <w:pPr>
              <w:spacing w:line="360" w:lineRule="auto"/>
              <w:jc w:val="center"/>
              <w:rPr>
                <w:sz w:val="24"/>
              </w:rPr>
            </w:pPr>
            <w:r>
              <w:rPr>
                <w:rFonts w:ascii="Calibri" w:hAnsi="Calibri" w:hint="eastAsia"/>
                <w:sz w:val="24"/>
              </w:rPr>
              <w:t>4</w:t>
            </w:r>
          </w:p>
        </w:tc>
        <w:tc>
          <w:tcPr>
            <w:tcW w:w="871"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jc w:val="center"/>
              <w:rPr>
                <w:sz w:val="24"/>
              </w:rPr>
            </w:pPr>
            <w:r>
              <w:rPr>
                <w:rFonts w:ascii="宋体" w:hAnsi="宋体" w:hint="eastAsia"/>
                <w:sz w:val="24"/>
              </w:rPr>
              <w:t>服务成果</w:t>
            </w:r>
          </w:p>
        </w:tc>
        <w:tc>
          <w:tcPr>
            <w:tcW w:w="3630" w:type="pct"/>
            <w:tcBorders>
              <w:top w:val="single" w:sz="4" w:space="0" w:color="000000"/>
              <w:left w:val="nil"/>
              <w:bottom w:val="single" w:sz="4" w:space="0" w:color="000000"/>
              <w:right w:val="single" w:sz="4" w:space="0" w:color="000000"/>
            </w:tcBorders>
            <w:vAlign w:val="center"/>
          </w:tcPr>
          <w:p w:rsidR="00F24138" w:rsidRDefault="00576842">
            <w:pPr>
              <w:spacing w:line="360" w:lineRule="auto"/>
              <w:rPr>
                <w:sz w:val="24"/>
              </w:rPr>
            </w:pPr>
            <w:r>
              <w:rPr>
                <w:rFonts w:ascii="宋体" w:hAnsi="宋体" w:hint="eastAsia"/>
                <w:sz w:val="24"/>
              </w:rPr>
              <w:t>《渗透测试服务报告》</w:t>
            </w:r>
            <w:bookmarkStart w:id="0" w:name="_GoBack"/>
            <w:bookmarkEnd w:id="0"/>
          </w:p>
        </w:tc>
      </w:tr>
    </w:tbl>
    <w:p w:rsidR="00F24138" w:rsidRDefault="00F24138"/>
    <w:p w:rsidR="00F24138" w:rsidRDefault="00576842">
      <w:pPr>
        <w:pStyle w:val="3"/>
        <w:rPr>
          <w:rFonts w:hAnsi="宋体" w:cs="宋体"/>
          <w:szCs w:val="24"/>
          <w:u w:val="none"/>
        </w:rPr>
      </w:pPr>
      <w:r>
        <w:rPr>
          <w:rFonts w:hAnsi="宋体" w:cs="宋体" w:hint="eastAsia"/>
          <w:szCs w:val="24"/>
          <w:u w:val="none"/>
        </w:rPr>
        <w:t>（二）服务要求</w:t>
      </w:r>
    </w:p>
    <w:p w:rsidR="00F24138" w:rsidRDefault="00576842">
      <w:pPr>
        <w:spacing w:line="360" w:lineRule="auto"/>
        <w:ind w:firstLineChars="200" w:firstLine="480"/>
        <w:rPr>
          <w:rFonts w:ascii="宋体" w:hAnsi="宋体" w:cs="宋体"/>
          <w:bCs/>
          <w:sz w:val="24"/>
        </w:rPr>
      </w:pPr>
      <w:r>
        <w:rPr>
          <w:sz w:val="24"/>
        </w:rPr>
        <w:t>投标人须为本项目组建稳定的、专业的、独立的安全服务团队，专门负责本项目运维工作。包括项目经理</w:t>
      </w:r>
      <w:r>
        <w:rPr>
          <w:sz w:val="24"/>
        </w:rPr>
        <w:t>1</w:t>
      </w:r>
      <w:r>
        <w:rPr>
          <w:sz w:val="24"/>
        </w:rPr>
        <w:t>名，</w:t>
      </w:r>
      <w:r>
        <w:rPr>
          <w:rFonts w:hint="eastAsia"/>
          <w:sz w:val="24"/>
        </w:rPr>
        <w:t>项目驻场人员</w:t>
      </w:r>
      <w:r>
        <w:rPr>
          <w:rFonts w:hint="eastAsia"/>
          <w:sz w:val="24"/>
        </w:rPr>
        <w:t>1</w:t>
      </w:r>
      <w:r>
        <w:rPr>
          <w:rFonts w:hint="eastAsia"/>
          <w:sz w:val="24"/>
        </w:rPr>
        <w:t>名，</w:t>
      </w:r>
      <w:r>
        <w:rPr>
          <w:sz w:val="24"/>
        </w:rPr>
        <w:t>项目组其他技术人员不</w:t>
      </w:r>
      <w:r>
        <w:rPr>
          <w:sz w:val="24"/>
        </w:rPr>
        <w:lastRenderedPageBreak/>
        <w:t>少于</w:t>
      </w:r>
      <w:r>
        <w:rPr>
          <w:rFonts w:hint="eastAsia"/>
          <w:sz w:val="24"/>
        </w:rPr>
        <w:t>4</w:t>
      </w:r>
      <w:r>
        <w:rPr>
          <w:sz w:val="24"/>
        </w:rPr>
        <w:t>名</w:t>
      </w:r>
      <w:r>
        <w:rPr>
          <w:rFonts w:hint="eastAsia"/>
          <w:sz w:val="24"/>
        </w:rPr>
        <w:t>，</w:t>
      </w:r>
      <w:r>
        <w:rPr>
          <w:rFonts w:ascii="宋体" w:hAnsi="宋体" w:cs="宋体" w:hint="eastAsia"/>
          <w:bCs/>
          <w:sz w:val="24"/>
        </w:rPr>
        <w:t>确保人力、物力的投入，项目组成员必须稳定，项目组成员在项目</w:t>
      </w:r>
      <w:proofErr w:type="gramStart"/>
      <w:r>
        <w:rPr>
          <w:rFonts w:ascii="宋体" w:hAnsi="宋体" w:cs="宋体" w:hint="eastAsia"/>
          <w:bCs/>
          <w:sz w:val="24"/>
        </w:rPr>
        <w:t>终验前如果</w:t>
      </w:r>
      <w:proofErr w:type="gramEnd"/>
      <w:r>
        <w:rPr>
          <w:rFonts w:ascii="宋体" w:hAnsi="宋体" w:cs="宋体" w:hint="eastAsia"/>
          <w:bCs/>
          <w:sz w:val="24"/>
        </w:rPr>
        <w:t>人员退出或更换，需要征得采购方同意。</w:t>
      </w:r>
    </w:p>
    <w:p w:rsidR="00F24138" w:rsidRDefault="00576842">
      <w:pPr>
        <w:pStyle w:val="a0"/>
      </w:pPr>
      <w:r>
        <w:rPr>
          <w:rFonts w:hint="eastAsia"/>
        </w:rPr>
        <w:t>项目经理需具备以下资质：</w:t>
      </w:r>
    </w:p>
    <w:p w:rsidR="00F24138" w:rsidRDefault="00576842">
      <w:pPr>
        <w:spacing w:line="360" w:lineRule="auto"/>
        <w:ind w:firstLineChars="200" w:firstLine="480"/>
        <w:rPr>
          <w:sz w:val="24"/>
        </w:rPr>
      </w:pPr>
      <w:r>
        <w:rPr>
          <w:rFonts w:hint="eastAsia"/>
          <w:sz w:val="24"/>
        </w:rPr>
        <w:t>项目经理：具有</w:t>
      </w:r>
      <w:r>
        <w:rPr>
          <w:rFonts w:hint="eastAsia"/>
          <w:sz w:val="24"/>
        </w:rPr>
        <w:t>ITIL</w:t>
      </w:r>
      <w:r>
        <w:rPr>
          <w:rFonts w:hint="eastAsia"/>
          <w:sz w:val="24"/>
        </w:rPr>
        <w:t>证书、信息系统项目管理师证书、专业职务任职资格评审委员会颁发的高级工程师（信息安全专业）资格证书、</w:t>
      </w:r>
      <w:r>
        <w:rPr>
          <w:rFonts w:hint="eastAsia"/>
          <w:sz w:val="24"/>
        </w:rPr>
        <w:t xml:space="preserve"> </w:t>
      </w:r>
    </w:p>
    <w:p w:rsidR="00F24138" w:rsidRDefault="00FF557E">
      <w:pPr>
        <w:spacing w:line="360" w:lineRule="auto"/>
        <w:ind w:firstLineChars="200" w:firstLine="480"/>
        <w:rPr>
          <w:color w:val="000000" w:themeColor="text1"/>
        </w:rPr>
      </w:pPr>
      <w:r>
        <w:rPr>
          <w:rFonts w:ascii="宋体" w:hAnsi="宋体" w:cs="宋体" w:hint="eastAsia"/>
          <w:sz w:val="24"/>
        </w:rPr>
        <w:t>★</w:t>
      </w:r>
      <w:r w:rsidR="00576842">
        <w:rPr>
          <w:rFonts w:hint="eastAsia"/>
          <w:color w:val="000000" w:themeColor="text1"/>
          <w:sz w:val="24"/>
        </w:rPr>
        <w:t>驻场人员：具有</w:t>
      </w:r>
      <w:r w:rsidR="00576842">
        <w:rPr>
          <w:rFonts w:hint="eastAsia"/>
          <w:color w:val="000000" w:themeColor="text1"/>
          <w:sz w:val="24"/>
        </w:rPr>
        <w:t>CISP</w:t>
      </w:r>
      <w:r w:rsidR="00576842">
        <w:rPr>
          <w:rFonts w:hint="eastAsia"/>
          <w:color w:val="000000" w:themeColor="text1"/>
          <w:sz w:val="24"/>
        </w:rPr>
        <w:t>证书、且有丰富的网络安全项目维护经验，驻场人员须</w:t>
      </w:r>
      <w:r w:rsidR="00D27ED1">
        <w:rPr>
          <w:rFonts w:hint="eastAsia"/>
          <w:color w:val="000000" w:themeColor="text1"/>
          <w:sz w:val="24"/>
        </w:rPr>
        <w:t>为</w:t>
      </w:r>
      <w:r w:rsidR="00576842">
        <w:rPr>
          <w:rFonts w:hint="eastAsia"/>
          <w:color w:val="000000" w:themeColor="text1"/>
          <w:sz w:val="24"/>
        </w:rPr>
        <w:t>投标公司</w:t>
      </w:r>
      <w:r w:rsidR="00D27ED1">
        <w:rPr>
          <w:rFonts w:hint="eastAsia"/>
          <w:color w:val="000000" w:themeColor="text1"/>
          <w:sz w:val="24"/>
        </w:rPr>
        <w:t>正式员工，且</w:t>
      </w:r>
      <w:r w:rsidR="00576842">
        <w:rPr>
          <w:rFonts w:hint="eastAsia"/>
          <w:color w:val="000000" w:themeColor="text1"/>
          <w:sz w:val="24"/>
        </w:rPr>
        <w:t>工作年限不少于</w:t>
      </w:r>
      <w:r w:rsidR="00DB48F6">
        <w:rPr>
          <w:rFonts w:hint="eastAsia"/>
          <w:color w:val="000000" w:themeColor="text1"/>
          <w:sz w:val="24"/>
          <w:u w:val="single"/>
        </w:rPr>
        <w:t>5</w:t>
      </w:r>
      <w:r w:rsidR="00576842">
        <w:rPr>
          <w:rFonts w:hint="eastAsia"/>
          <w:color w:val="000000" w:themeColor="text1"/>
          <w:sz w:val="24"/>
        </w:rPr>
        <w:t>年，并提供证明材料。</w:t>
      </w:r>
    </w:p>
    <w:sectPr w:rsidR="00F241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E2" w:rsidRDefault="00AE08E2">
      <w:r>
        <w:separator/>
      </w:r>
    </w:p>
  </w:endnote>
  <w:endnote w:type="continuationSeparator" w:id="0">
    <w:p w:rsidR="00AE08E2" w:rsidRDefault="00A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38" w:rsidRDefault="0057684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138" w:rsidRDefault="00576842">
                          <w:pPr>
                            <w:pStyle w:val="a6"/>
                          </w:pPr>
                          <w:r>
                            <w:fldChar w:fldCharType="begin"/>
                          </w:r>
                          <w:r>
                            <w:instrText xml:space="preserve"> PAGE  \* MERGEFORMAT </w:instrText>
                          </w:r>
                          <w:r>
                            <w:fldChar w:fldCharType="separate"/>
                          </w:r>
                          <w:r w:rsidR="00905735">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24138" w:rsidRDefault="00576842">
                    <w:pPr>
                      <w:pStyle w:val="a6"/>
                    </w:pPr>
                    <w:r>
                      <w:fldChar w:fldCharType="begin"/>
                    </w:r>
                    <w:r>
                      <w:instrText xml:space="preserve"> PAGE  \* MERGEFORMAT </w:instrText>
                    </w:r>
                    <w:r>
                      <w:fldChar w:fldCharType="separate"/>
                    </w:r>
                    <w:r w:rsidR="00905735">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E2" w:rsidRDefault="00AE08E2">
      <w:r>
        <w:separator/>
      </w:r>
    </w:p>
  </w:footnote>
  <w:footnote w:type="continuationSeparator" w:id="0">
    <w:p w:rsidR="00AE08E2" w:rsidRDefault="00AE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8CE10"/>
    <w:multiLevelType w:val="singleLevel"/>
    <w:tmpl w:val="C5D8CE10"/>
    <w:lvl w:ilvl="0">
      <w:start w:val="1"/>
      <w:numFmt w:val="chineseCounting"/>
      <w:suff w:val="nothing"/>
      <w:lvlText w:val="（%1）"/>
      <w:lvlJc w:val="left"/>
      <w:rPr>
        <w:rFonts w:hint="eastAsia"/>
      </w:rPr>
    </w:lvl>
  </w:abstractNum>
  <w:abstractNum w:abstractNumId="1">
    <w:nsid w:val="D269BF3A"/>
    <w:multiLevelType w:val="singleLevel"/>
    <w:tmpl w:val="D269BF3A"/>
    <w:lvl w:ilvl="0">
      <w:start w:val="1"/>
      <w:numFmt w:val="decimal"/>
      <w:lvlText w:val="%1."/>
      <w:lvlJc w:val="left"/>
      <w:pPr>
        <w:tabs>
          <w:tab w:val="left" w:pos="312"/>
        </w:tabs>
      </w:pPr>
    </w:lvl>
  </w:abstractNum>
  <w:abstractNum w:abstractNumId="2">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314A14"/>
    <w:multiLevelType w:val="singleLevel"/>
    <w:tmpl w:val="70314A14"/>
    <w:lvl w:ilvl="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038F4"/>
    <w:rsid w:val="0000414D"/>
    <w:rsid w:val="00022175"/>
    <w:rsid w:val="000257E8"/>
    <w:rsid w:val="00090CAA"/>
    <w:rsid w:val="000C5E94"/>
    <w:rsid w:val="000D0F8B"/>
    <w:rsid w:val="000E50D9"/>
    <w:rsid w:val="000F196D"/>
    <w:rsid w:val="000F224D"/>
    <w:rsid w:val="000F4C34"/>
    <w:rsid w:val="00122465"/>
    <w:rsid w:val="0013121E"/>
    <w:rsid w:val="001D3172"/>
    <w:rsid w:val="001D75DC"/>
    <w:rsid w:val="001E180F"/>
    <w:rsid w:val="001E57B4"/>
    <w:rsid w:val="00207020"/>
    <w:rsid w:val="00253929"/>
    <w:rsid w:val="00295489"/>
    <w:rsid w:val="002C0428"/>
    <w:rsid w:val="002D552F"/>
    <w:rsid w:val="002E08F7"/>
    <w:rsid w:val="002F382A"/>
    <w:rsid w:val="003070CE"/>
    <w:rsid w:val="00317C47"/>
    <w:rsid w:val="003451F7"/>
    <w:rsid w:val="003545BA"/>
    <w:rsid w:val="003714B1"/>
    <w:rsid w:val="00383733"/>
    <w:rsid w:val="003E67E6"/>
    <w:rsid w:val="0040119E"/>
    <w:rsid w:val="004243C5"/>
    <w:rsid w:val="00436C99"/>
    <w:rsid w:val="004B04A3"/>
    <w:rsid w:val="004B3CD7"/>
    <w:rsid w:val="004D7A7B"/>
    <w:rsid w:val="005109CD"/>
    <w:rsid w:val="00546E03"/>
    <w:rsid w:val="005507CC"/>
    <w:rsid w:val="00566225"/>
    <w:rsid w:val="00576842"/>
    <w:rsid w:val="005874CC"/>
    <w:rsid w:val="00593C40"/>
    <w:rsid w:val="005E12DF"/>
    <w:rsid w:val="005E5555"/>
    <w:rsid w:val="006C2E65"/>
    <w:rsid w:val="006E4DAE"/>
    <w:rsid w:val="0071202B"/>
    <w:rsid w:val="00747BE6"/>
    <w:rsid w:val="007C6E6C"/>
    <w:rsid w:val="007F37A4"/>
    <w:rsid w:val="00816EFF"/>
    <w:rsid w:val="00856AEB"/>
    <w:rsid w:val="008F4396"/>
    <w:rsid w:val="00905735"/>
    <w:rsid w:val="00927752"/>
    <w:rsid w:val="00927FED"/>
    <w:rsid w:val="00931245"/>
    <w:rsid w:val="00962848"/>
    <w:rsid w:val="00965D06"/>
    <w:rsid w:val="00A04D96"/>
    <w:rsid w:val="00A95D1B"/>
    <w:rsid w:val="00AB5829"/>
    <w:rsid w:val="00AE08E2"/>
    <w:rsid w:val="00B519A7"/>
    <w:rsid w:val="00B72520"/>
    <w:rsid w:val="00B822A8"/>
    <w:rsid w:val="00B85CC1"/>
    <w:rsid w:val="00BA16E2"/>
    <w:rsid w:val="00BF0828"/>
    <w:rsid w:val="00C13B0F"/>
    <w:rsid w:val="00C3396F"/>
    <w:rsid w:val="00C35DD7"/>
    <w:rsid w:val="00C35F73"/>
    <w:rsid w:val="00C60DC1"/>
    <w:rsid w:val="00CA4967"/>
    <w:rsid w:val="00CF499E"/>
    <w:rsid w:val="00D20586"/>
    <w:rsid w:val="00D27ED1"/>
    <w:rsid w:val="00D4570A"/>
    <w:rsid w:val="00D847D2"/>
    <w:rsid w:val="00D94912"/>
    <w:rsid w:val="00D9543A"/>
    <w:rsid w:val="00DB48F6"/>
    <w:rsid w:val="00DC47EC"/>
    <w:rsid w:val="00DE1152"/>
    <w:rsid w:val="00E44539"/>
    <w:rsid w:val="00E8516A"/>
    <w:rsid w:val="00E94107"/>
    <w:rsid w:val="00EA4D84"/>
    <w:rsid w:val="00F11E83"/>
    <w:rsid w:val="00F24138"/>
    <w:rsid w:val="00F62039"/>
    <w:rsid w:val="00FB7076"/>
    <w:rsid w:val="00FB709B"/>
    <w:rsid w:val="00FF3D75"/>
    <w:rsid w:val="00FF557E"/>
    <w:rsid w:val="02702D13"/>
    <w:rsid w:val="05487DE8"/>
    <w:rsid w:val="0CF84031"/>
    <w:rsid w:val="0F7A3E42"/>
    <w:rsid w:val="1B8575B5"/>
    <w:rsid w:val="2BB533C1"/>
    <w:rsid w:val="2CBE44F7"/>
    <w:rsid w:val="2E0563B2"/>
    <w:rsid w:val="457C4AF8"/>
    <w:rsid w:val="49523C72"/>
    <w:rsid w:val="58C038F4"/>
    <w:rsid w:val="7031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nhideWhenUsed="0"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tabs>
        <w:tab w:val="left" w:pos="567"/>
      </w:tabs>
      <w:spacing w:before="120" w:line="22" w:lineRule="atLeast"/>
    </w:pPr>
    <w:rPr>
      <w:rFonts w:ascii="宋体" w:hAnsi="宋体"/>
      <w:sz w:val="24"/>
    </w:rPr>
  </w:style>
  <w:style w:type="paragraph" w:styleId="a4">
    <w:name w:val="Normal Indent"/>
    <w:basedOn w:val="a"/>
    <w:qFormat/>
    <w:pPr>
      <w:autoSpaceDE w:val="0"/>
      <w:autoSpaceDN w:val="0"/>
      <w:adjustRightInd w:val="0"/>
      <w:ind w:firstLine="420"/>
      <w:jc w:val="left"/>
    </w:pPr>
    <w:rPr>
      <w:rFonts w:ascii="宋体"/>
      <w:sz w:val="24"/>
    </w:rPr>
  </w:style>
  <w:style w:type="paragraph" w:styleId="a5">
    <w:name w:val="annotation text"/>
    <w:basedOn w:val="a"/>
    <w:qFormat/>
    <w:pPr>
      <w:jc w:val="left"/>
    </w:pPr>
  </w:style>
  <w:style w:type="paragraph" w:styleId="a6">
    <w:name w:val="footer"/>
    <w:basedOn w:val="a"/>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0"/>
    <w:uiPriority w:val="99"/>
    <w:unhideWhenUsed/>
    <w:qFormat/>
    <w:pPr>
      <w:tabs>
        <w:tab w:val="clear" w:pos="567"/>
        <w:tab w:val="left" w:pos="420"/>
      </w:tabs>
      <w:ind w:firstLineChars="100" w:firstLine="420"/>
    </w:pPr>
    <w:rPr>
      <w:rFonts w:ascii="Courier New" w:hAnsi="Courier New"/>
      <w:kern w:val="0"/>
    </w:rPr>
  </w:style>
  <w:style w:type="paragraph" w:customStyle="1" w:styleId="1">
    <w:name w:val="列出段落1"/>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nhideWhenUsed="0"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tabs>
        <w:tab w:val="left" w:pos="567"/>
      </w:tabs>
      <w:spacing w:before="120" w:line="22" w:lineRule="atLeast"/>
    </w:pPr>
    <w:rPr>
      <w:rFonts w:ascii="宋体" w:hAnsi="宋体"/>
      <w:sz w:val="24"/>
    </w:rPr>
  </w:style>
  <w:style w:type="paragraph" w:styleId="a4">
    <w:name w:val="Normal Indent"/>
    <w:basedOn w:val="a"/>
    <w:qFormat/>
    <w:pPr>
      <w:autoSpaceDE w:val="0"/>
      <w:autoSpaceDN w:val="0"/>
      <w:adjustRightInd w:val="0"/>
      <w:ind w:firstLine="420"/>
      <w:jc w:val="left"/>
    </w:pPr>
    <w:rPr>
      <w:rFonts w:ascii="宋体"/>
      <w:sz w:val="24"/>
    </w:rPr>
  </w:style>
  <w:style w:type="paragraph" w:styleId="a5">
    <w:name w:val="annotation text"/>
    <w:basedOn w:val="a"/>
    <w:qFormat/>
    <w:pPr>
      <w:jc w:val="left"/>
    </w:pPr>
  </w:style>
  <w:style w:type="paragraph" w:styleId="a6">
    <w:name w:val="footer"/>
    <w:basedOn w:val="a"/>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0"/>
    <w:uiPriority w:val="99"/>
    <w:unhideWhenUsed/>
    <w:qFormat/>
    <w:pPr>
      <w:tabs>
        <w:tab w:val="clear" w:pos="567"/>
        <w:tab w:val="left" w:pos="420"/>
      </w:tabs>
      <w:ind w:firstLineChars="100" w:firstLine="420"/>
    </w:pPr>
    <w:rPr>
      <w:rFonts w:ascii="Courier New" w:hAnsi="Courier New"/>
      <w:kern w:val="0"/>
    </w:rPr>
  </w:style>
  <w:style w:type="paragraph" w:customStyle="1" w:styleId="1">
    <w:name w:val="列出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张茜茹</dc:creator>
  <cp:lastModifiedBy>Windows 用户</cp:lastModifiedBy>
  <cp:revision>4</cp:revision>
  <dcterms:created xsi:type="dcterms:W3CDTF">2025-09-22T02:28:00Z</dcterms:created>
  <dcterms:modified xsi:type="dcterms:W3CDTF">2025-09-22T02:41:00Z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4E2E1C5943FE41DE97EB6A06B48EDA22_13</vt:lpwstr>
  </property>
  <property fmtid="{D5CDD505-2E9C-101B-9397-08002B2CF9AE}" pid="4" name="KSOTemplateDocerSaveRecord">
    <vt:lpwstr>eyJoZGlkIjoiMzkxMDczZDM3YTZhNDJiYzU3NDEyYTJhYjM4ZjRiOGQiLCJ1c2VySWQiOiI4MTQzOTA0NjUifQ==</vt:lpwstr>
  </property>
</Properties>
</file>