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4FD34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电子阴道镜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参数</w:t>
      </w:r>
    </w:p>
    <w:p w14:paraId="20D61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D2D2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技术参数：</w:t>
      </w:r>
    </w:p>
    <w:p w14:paraId="4B96F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1.镜头参数</w:t>
      </w:r>
    </w:p>
    <w:p w14:paraId="1759C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1.1★成像要求：具有光学放大连续变倍、自动聚焦和1080p高清视频成像功能，整机系统水平分辨率≥1150TVL；</w:t>
      </w:r>
    </w:p>
    <w:p w14:paraId="0A9DA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1.2视场范围满足：≥100mm(3X), ≥16mm(18X)；</w:t>
      </w:r>
    </w:p>
    <w:p w14:paraId="6659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1.3★镜头成像景深：放大倍数3x观察条件下≥200mm, 放大倍数18x观察条件下≥60mm；</w:t>
      </w:r>
    </w:p>
    <w:p w14:paraId="3E76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1.4★视频观察图像：几何失真度为≤0.5%；视场中心的空间分辨力≥20 lP/mm；色彩饱和度平均值不小于95%,色彩还原度最大误差不大于30 NBS，平均误差不大于20 NBS；</w:t>
      </w:r>
    </w:p>
    <w:p w14:paraId="4436A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1.5镜头成像工作距离：150mm～380mm；</w:t>
      </w:r>
    </w:p>
    <w:p w14:paraId="3D052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1.6镜头视频成像放大倍数：支持连续变倍≥40倍,可在视频图像上标记显示放大倍数标记，并可在打印报告中显示对图像的倍数标记；</w:t>
      </w:r>
    </w:p>
    <w:p w14:paraId="31BCD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1.7镜头光源：高显色性LED环形组光源，当工作距离为200mm时目标中心照度的最大值≥15000Lx，当工作距离为300mm时目标中心照度的最大值≥10000Lx；</w:t>
      </w:r>
    </w:p>
    <w:p w14:paraId="388B8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1.8镜头按键功能：需具备检查、计时、回放、报告、放大、缩小、三级白光、三级绿光、手扣采图；</w:t>
      </w:r>
    </w:p>
    <w:p w14:paraId="043C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1.9镜头按键根据阴道镜检查流程，检查键“一键”实现6X-8X-12X倍光学放大观察快速切换；“一键”进入按采图时序回放观察多图界面，回放显示可将阴道镜检查过程中采集的图像按时序同屏显示；“一键”进入检查报告记录操作界面；</w:t>
      </w:r>
    </w:p>
    <w:p w14:paraId="1B05A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1.10镜头手柄手扣按键功能：提供图像采集、图像冻结等多功能模式设置功能；</w:t>
      </w:r>
    </w:p>
    <w:p w14:paraId="7FDAA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1.11需配置镜头专用保护套；</w:t>
      </w:r>
    </w:p>
    <w:p w14:paraId="2C8C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1.12支架功能：需提供金属结构可升降直立式支架，免调节阻尼机构一体式云台。</w:t>
      </w:r>
    </w:p>
    <w:p w14:paraId="7689F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2.阴道镜工作站性能要求：</w:t>
      </w:r>
    </w:p>
    <w:p w14:paraId="5C7CE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2.1图像处理工作站性能要求：显示器≥23.8英寸宽视角、真彩、高清图像显示器，CPU≥2.5GHz I3处理器 ，内存≥8G，固态硬盘≥128G，硬盘≥1T，USB接口≥4个；</w:t>
      </w:r>
    </w:p>
    <w:p w14:paraId="4E41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2.2带网络接口，内置4G物联网络;</w:t>
      </w:r>
    </w:p>
    <w:p w14:paraId="555F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2.3工作站显示器功能：直立式显示支架，分辨率满足1920*1080；</w:t>
      </w:r>
    </w:p>
    <w:p w14:paraId="5BF29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2.4工作站台车：简易操作台面及外置式无线鼠标键盘；</w:t>
      </w:r>
    </w:p>
    <w:p w14:paraId="67751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2.5患者信息登记功能：自动复查功能；</w:t>
      </w:r>
    </w:p>
    <w:p w14:paraId="529AA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2.6观察检查UI界面功能：具有自动采图功能，自动采图开始时间、间隔时间、采图数量支持自定义设置；</w:t>
      </w:r>
    </w:p>
    <w:p w14:paraId="5D829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2.7辅助诊断评估：提供不少于3种国际学术专业认可的评估方法（Swede、RCI和Shafi-Nazeer）,用于宫颈CIN病变程度的评估；</w:t>
      </w:r>
    </w:p>
    <w:p w14:paraId="5DE84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2.8检查结果记录功能：具有对阴道镜检查和手术治疗结果进行记录、图像标记和随访管理功能；提供符合 IFCPC2011 和 ASCCP2019 指南术语阴道镜诊断术语及参考图谱，并可与当前检查患者检查图像对比显示在同一界面；</w:t>
      </w:r>
    </w:p>
    <w:p w14:paraId="5E3E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2.9★检查/治疗手术报告输出功能：提供可编辑式报告模板，支持导航栏快速定位到报告内容，可对阴道镜检查、手术治疗进行针对性的记录和随访管理，可自适应打印报告模版，根据临床需要增减打印报告选择项目，提交患者打印报告后系统自动生成PDF文件备份；</w:t>
      </w:r>
    </w:p>
    <w:p w14:paraId="57AD1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2.10数据管理功能：提供患者就诊数据信息的自动备份与恢复功能；</w:t>
      </w:r>
    </w:p>
    <w:p w14:paraId="152CF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2.11统计分析：提供按日期、姓名、手机号码的等信息查询功能；具有对拟诊结果、病理结果、实验室检查结果、检查医生和开单医生的工作量等进行统计分析功能；</w:t>
      </w:r>
    </w:p>
    <w:p w14:paraId="08616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2.12提供阴道镜模拟训练云服务系统微信登录可选功能，为阴道镜用户提供阴道镜视频教学、图像判读学习、术语学习和模拟测试功能；具有不少于10000张典型病例图谱库；</w:t>
      </w:r>
    </w:p>
    <w:p w14:paraId="01C77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3.可选网络应用功能：</w:t>
      </w:r>
    </w:p>
    <w:p w14:paraId="7461B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3.1支持局域网络/广域网络拓展功能，阴道镜网络数据管理与图像处理软件具有医疗器械注册证。</w:t>
      </w:r>
    </w:p>
    <w:p w14:paraId="53B8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D2D6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电气参数：</w:t>
      </w:r>
    </w:p>
    <w:p w14:paraId="3258A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1.输入电源：220V～，50Hz；</w:t>
      </w:r>
    </w:p>
    <w:p w14:paraId="7A64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2.输入功率：200VA。</w:t>
      </w:r>
    </w:p>
    <w:p w14:paraId="6C9D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9685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功能参数：</w:t>
      </w:r>
    </w:p>
    <w:p w14:paraId="61CCE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1.适用于对妇科宫颈、阴道及外阴的非接触性检查和图像采集；</w:t>
      </w:r>
    </w:p>
    <w:p w14:paraId="7414D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2.具有病人信息录入、观察检查、报告记录及打印功能；</w:t>
      </w:r>
    </w:p>
    <w:p w14:paraId="2BF45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3.具有术语管理、病例管理及统计分析功能。</w:t>
      </w:r>
    </w:p>
    <w:p w14:paraId="4BB1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B41B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需配置设备附件：</w:t>
      </w:r>
    </w:p>
    <w:p w14:paraId="1F711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1.高清镜头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</w:t>
      </w:r>
    </w:p>
    <w:p w14:paraId="3A6C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2.金属直立支架组件及连接线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套</w:t>
      </w:r>
    </w:p>
    <w:p w14:paraId="351FD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3.人形支架底座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</w:t>
      </w:r>
    </w:p>
    <w:p w14:paraId="77A2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4.脚踏开关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</w:t>
      </w:r>
    </w:p>
    <w:p w14:paraId="1611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5.工作站（含台车、主机、阴道镜工作站软件）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套</w:t>
      </w:r>
    </w:p>
    <w:p w14:paraId="7E143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6.显示器（含直立支架）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套</w:t>
      </w:r>
    </w:p>
    <w:p w14:paraId="3A3BB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7.无线鼠标、键盘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套</w:t>
      </w:r>
    </w:p>
    <w:p w14:paraId="057A5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8.无线路由器（内置）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套</w:t>
      </w:r>
    </w:p>
    <w:p w14:paraId="0B843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9.彩色喷墨打印机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套</w:t>
      </w:r>
    </w:p>
    <w:p w14:paraId="65AA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电源线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</w:t>
      </w:r>
    </w:p>
    <w:p w14:paraId="3EF24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镜头防尘罩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个</w:t>
      </w:r>
    </w:p>
    <w:p w14:paraId="62290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台车防尘罩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个</w:t>
      </w:r>
    </w:p>
    <w:p w14:paraId="47DF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售后服务</w:t>
      </w:r>
    </w:p>
    <w:p w14:paraId="21A22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1、保证备件的存储并提供备件的发货，提供在线支持、现场检修、全部零备件更换。</w:t>
      </w:r>
    </w:p>
    <w:p w14:paraId="21F1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2、所有备件保证是原厂备件并提供清晰合法的来源证明材料。</w:t>
      </w:r>
    </w:p>
    <w:p w14:paraId="48F7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3、提供免费维修服务热线，提供维修技术专家开展远程在线技术支持和维修诊断，及时派工程师进行指导或赴现场维修。</w:t>
      </w:r>
    </w:p>
    <w:p w14:paraId="75A8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4、报修响应时间≤1小时；如需到场维修，到达现场时间≤8小时。</w:t>
      </w:r>
    </w:p>
    <w:p w14:paraId="1EE3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5、医工科和使用科室根据响应速度、配件响应速度、工程师维修效率、维修后设备使用情况、设备保养情况等方面进行评价打分，评分低于90分可提出整改。</w:t>
      </w:r>
    </w:p>
    <w:p w14:paraId="7020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设备质保期外，</w:t>
      </w:r>
      <w:r>
        <w:rPr>
          <w:rFonts w:hint="eastAsia" w:ascii="仿宋" w:hAnsi="仿宋" w:eastAsia="仿宋" w:cs="仿宋"/>
          <w:sz w:val="32"/>
          <w:szCs w:val="32"/>
        </w:rPr>
        <w:t>提供免费维修服务热线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与技术支持</w:t>
      </w:r>
      <w:r>
        <w:rPr>
          <w:rFonts w:hint="eastAsia" w:ascii="仿宋" w:hAnsi="仿宋" w:eastAsia="仿宋" w:cs="仿宋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如需到场维修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不得收取上门费</w:t>
      </w:r>
    </w:p>
    <w:p w14:paraId="4D2A8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质保时间</w:t>
      </w:r>
    </w:p>
    <w:p w14:paraId="6AB4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1、设备经过验收后整机质保不少于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15A3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保修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起止日期</w:t>
      </w:r>
    </w:p>
    <w:p w14:paraId="1A71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1、自设备验收合格之日起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，验收合格日期以双方签字确认的验收报告为准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AA9DFFC"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002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C0163"/>
    <w:rsid w:val="0AAC68B2"/>
    <w:rsid w:val="0E6574A4"/>
    <w:rsid w:val="10EA0134"/>
    <w:rsid w:val="11BA7B07"/>
    <w:rsid w:val="181F06C4"/>
    <w:rsid w:val="1CDF48C5"/>
    <w:rsid w:val="2A41096D"/>
    <w:rsid w:val="439A75FD"/>
    <w:rsid w:val="4B386288"/>
    <w:rsid w:val="4C5C2F8D"/>
    <w:rsid w:val="4CEC4311"/>
    <w:rsid w:val="58276B45"/>
    <w:rsid w:val="66707909"/>
    <w:rsid w:val="6EA14B04"/>
    <w:rsid w:val="73972979"/>
    <w:rsid w:val="743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560" w:lineRule="exact"/>
    </w:pPr>
    <w:rPr>
      <w:rFonts w:ascii="仿宋_GB2312" w:hAnsi="楷体_GB2312" w:eastAsia="仿宋_GB2312" w:cs="楷体_GB2312"/>
      <w:bCs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adjustRightInd w:val="0"/>
      <w:outlineLvl w:val="0"/>
    </w:pPr>
    <w:rPr>
      <w:rFonts w:ascii="黑体" w:hAnsi="黑体" w:eastAsia="黑体" w:cs="黑体"/>
      <w:bCs w:val="0"/>
      <w:kern w:val="44"/>
      <w:sz w:val="32"/>
      <w:szCs w:val="32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outlineLvl w:val="1"/>
    </w:pPr>
    <w:rPr>
      <w:rFonts w:ascii="Times New Roman" w:hAnsi="Times New Roman" w:eastAsia="宋体" w:cs="Times New Roman"/>
      <w:b/>
      <w:kern w:val="2"/>
      <w:sz w:val="24"/>
      <w:szCs w:val="32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qFormat/>
    <w:uiPriority w:val="0"/>
    <w:pPr>
      <w:spacing w:line="240" w:lineRule="auto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bCs w:val="0"/>
      <w:kern w:val="2"/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</w:pPr>
    <w:rPr>
      <w:rFonts w:ascii="Courier" w:hAnsi="Courier" w:eastAsia="宋体" w:cs="Times New Roman"/>
      <w:bCs w:val="0"/>
      <w:sz w:val="24"/>
      <w:szCs w:val="20"/>
      <w:lang w:val="en-GB" w:eastAsia="en-US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标题 1 Char"/>
    <w:link w:val="2"/>
    <w:qFormat/>
    <w:uiPriority w:val="0"/>
    <w:rPr>
      <w:rFonts w:ascii="黑体" w:hAnsi="黑体" w:eastAsia="黑体" w:cs="黑体"/>
      <w:kern w:val="44"/>
      <w:sz w:val="32"/>
      <w:szCs w:val="32"/>
      <w:shd w:val="clear" w:color="auto" w:fill="FFFFFF"/>
    </w:rPr>
  </w:style>
  <w:style w:type="character" w:customStyle="1" w:styleId="11">
    <w:name w:val="标题 2 Char"/>
    <w:link w:val="3"/>
    <w:qFormat/>
    <w:uiPriority w:val="0"/>
    <w:rPr>
      <w:b/>
      <w:bCs/>
      <w:kern w:val="2"/>
      <w:sz w:val="24"/>
      <w:szCs w:val="32"/>
      <w:shd w:val="clear" w:color="auto" w:fill="FFFFFF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宋体" w:hAnsi="宋体" w:cs="宋体"/>
      <w:sz w:val="24"/>
      <w:szCs w:val="24"/>
    </w:rPr>
  </w:style>
  <w:style w:type="paragraph" w:customStyle="1" w:styleId="14">
    <w:name w:val="0.0.0.0"/>
    <w:basedOn w:val="1"/>
    <w:qFormat/>
    <w:uiPriority w:val="0"/>
    <w:pPr>
      <w:adjustRightInd w:val="0"/>
      <w:snapToGrid w:val="0"/>
      <w:ind w:left="1980" w:leftChars="600" w:hanging="720" w:hangingChars="300"/>
    </w:pPr>
    <w:rPr>
      <w:rFonts w:ascii="Times New Roman" w:hAnsi="Times New Roman"/>
      <w:szCs w:val="24"/>
    </w:rPr>
  </w:style>
  <w:style w:type="character" w:customStyle="1" w:styleId="15">
    <w:name w:val="不明显强调1"/>
    <w:qFormat/>
    <w:uiPriority w:val="99"/>
    <w:rPr>
      <w:rFonts w:cs="Times New Roman"/>
      <w:i/>
      <w:color w:val="404040"/>
    </w:rPr>
  </w:style>
  <w:style w:type="character" w:customStyle="1" w:styleId="16">
    <w:name w:val="页眉 Char"/>
    <w:link w:val="6"/>
    <w:qFormat/>
    <w:uiPriority w:val="0"/>
    <w:rPr>
      <w:rFonts w:ascii="Courier" w:hAnsi="Courier"/>
      <w:sz w:val="24"/>
      <w:shd w:val="clear" w:color="auto" w:fill="FFFFFF"/>
      <w:lang w:val="en-GB" w:eastAsia="en-US"/>
    </w:rPr>
  </w:style>
  <w:style w:type="character" w:customStyle="1" w:styleId="17">
    <w:name w:val="页脚 Char"/>
    <w:link w:val="5"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  <w:style w:type="character" w:customStyle="1" w:styleId="18">
    <w:name w:val="批注框文本 Char"/>
    <w:link w:val="4"/>
    <w:qFormat/>
    <w:uiPriority w:val="0"/>
    <w:rPr>
      <w:rFonts w:ascii="Calibri" w:hAnsi="Calibri"/>
      <w:kern w:val="2"/>
      <w:sz w:val="18"/>
      <w:szCs w:val="1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2045</Words>
  <Characters>2346</Characters>
  <Paragraphs>71</Paragraphs>
  <TotalTime>2</TotalTime>
  <ScaleCrop>false</ScaleCrop>
  <LinksUpToDate>false</LinksUpToDate>
  <CharactersWithSpaces>2394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2025-04-10T08:58:00Z</dcterms:created>
  <dc:creator>A</dc:creator>
  <cp:lastModifiedBy>都是命</cp:lastModifiedBy>
  <dcterms:modified xsi:type="dcterms:W3CDTF">2025-08-01T01:45:48Z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eyJoZGlkIjoiN2NhZTRjNGRhMzY1OTAyNTY3NTRiYjJkZDdmZjc3YWEiLCJ1c2VySWQiOiIxMDg1OTY3MzMzIn0=</vt:lpwstr>
  </property>
  <property fmtid="{D5CDD505-2E9C-101B-9397-08002B2CF9AE}" pid="3" name="KSOProductBuildVer">
    <vt:lpwstr>2052-12.1.0.21915</vt:lpwstr>
  </property>
  <property fmtid="{D5CDD505-2E9C-101B-9397-08002B2CF9AE}" pid="4" name="ICV">
    <vt:lpwstr>e87f4d12638244c9b2829ef711891236_23</vt:lpwstr>
  </property>
</Properties>
</file>